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A300" w14:textId="77777777" w:rsidR="006B3D67" w:rsidRPr="006B3D67" w:rsidRDefault="006B3D67" w:rsidP="006B3D67">
      <w:pPr>
        <w:bidi/>
        <w:rPr>
          <w:b/>
          <w:bCs/>
          <w:rtl/>
          <w:lang w:bidi="fa-IR"/>
        </w:rPr>
      </w:pPr>
    </w:p>
    <w:p w14:paraId="154C1A6F" w14:textId="77777777" w:rsidR="006B3D67" w:rsidRPr="006B3D67" w:rsidRDefault="006B3D67" w:rsidP="006B3D67">
      <w:pPr>
        <w:bidi/>
        <w:rPr>
          <w:b/>
          <w:bCs/>
          <w:rtl/>
          <w:lang w:bidi="fa-IR"/>
        </w:rPr>
      </w:pPr>
      <w:r w:rsidRPr="006B3D67">
        <w:rPr>
          <w:rFonts w:hint="cs"/>
          <w:b/>
          <w:bCs/>
          <w:rtl/>
          <w:lang w:bidi="fa-IR"/>
        </w:rPr>
        <w:t>یادداشت ها:</w:t>
      </w:r>
    </w:p>
    <w:p w14:paraId="239EC93A" w14:textId="77777777" w:rsidR="006B3D67" w:rsidRPr="006B3D67" w:rsidRDefault="006B3D67" w:rsidP="006B3D67">
      <w:pPr>
        <w:bidi/>
        <w:rPr>
          <w:b/>
          <w:bCs/>
          <w:rtl/>
          <w:lang w:bidi="fa-IR"/>
        </w:rPr>
      </w:pPr>
    </w:p>
    <w:p w14:paraId="1D9A72B1" w14:textId="77777777" w:rsidR="006B3D67" w:rsidRPr="006B3D67" w:rsidRDefault="006B3D67" w:rsidP="006B3D67">
      <w:pPr>
        <w:numPr>
          <w:ilvl w:val="0"/>
          <w:numId w:val="1"/>
        </w:numPr>
        <w:bidi/>
      </w:pPr>
      <w:r w:rsidRPr="006B3D67">
        <w:t xml:space="preserve"> (The assumption of natural superiority)</w:t>
      </w:r>
      <w:r w:rsidRPr="006B3D67">
        <w:rPr>
          <w:rtl/>
          <w:lang w:bidi="fa-IR"/>
        </w:rPr>
        <w:t xml:space="preserve">. برای آگاهیِ بیشتر در این باره، نگاه کنید به این پژوهش در </w:t>
      </w:r>
      <w:hyperlink r:id="rId5" w:history="1">
        <w:r w:rsidRPr="006B3D67">
          <w:rPr>
            <w:rStyle w:val="Hyperlink"/>
            <w:rtl/>
            <w:lang w:bidi="fa-IR"/>
          </w:rPr>
          <w:t>اینجا</w:t>
        </w:r>
      </w:hyperlink>
      <w:r w:rsidRPr="006B3D67">
        <w:rPr>
          <w:rtl/>
          <w:lang w:bidi="fa-IR"/>
        </w:rPr>
        <w:t>:</w:t>
      </w:r>
      <w:r w:rsidRPr="006B3D67">
        <w:t xml:space="preserve"> </w:t>
      </w:r>
      <w:hyperlink r:id="rId6" w:history="1">
        <w:r w:rsidRPr="006B3D67">
          <w:rPr>
            <w:rStyle w:val="Hyperlink"/>
          </w:rPr>
          <w:t>https://www.sciencedirect.com/science/article/abs/pii/0022103172900789</w:t>
        </w:r>
      </w:hyperlink>
      <w:r w:rsidRPr="006B3D67">
        <w:rPr>
          <w:rtl/>
          <w:lang w:bidi="fa-IR"/>
        </w:rPr>
        <w:t xml:space="preserve"> </w:t>
      </w:r>
    </w:p>
    <w:p w14:paraId="492EA1C1" w14:textId="77777777" w:rsidR="006B3D67" w:rsidRPr="006B3D67" w:rsidRDefault="006B3D67" w:rsidP="006B3D67">
      <w:pPr>
        <w:bidi/>
        <w:rPr>
          <w:rtl/>
        </w:rPr>
      </w:pPr>
    </w:p>
    <w:p w14:paraId="1D003E76" w14:textId="77777777" w:rsidR="006B3D67" w:rsidRPr="006B3D67" w:rsidRDefault="006B3D67" w:rsidP="006B3D67">
      <w:pPr>
        <w:numPr>
          <w:ilvl w:val="0"/>
          <w:numId w:val="1"/>
        </w:numPr>
        <w:bidi/>
        <w:rPr>
          <w:rtl/>
        </w:rPr>
      </w:pPr>
      <w:r w:rsidRPr="006B3D67">
        <w:fldChar w:fldCharType="begin"/>
      </w:r>
      <w:r w:rsidRPr="006B3D67">
        <w:instrText xml:space="preserve"> HYPERLINK "https://www.theguardian.com/news/2017/sep/07/how-the-aristocracy-preserved-their-power</w:instrText>
      </w:r>
    </w:p>
    <w:p w14:paraId="2D68E413" w14:textId="77777777" w:rsidR="006B3D67" w:rsidRPr="006B3D67" w:rsidRDefault="006B3D67" w:rsidP="006B3D67">
      <w:pPr>
        <w:numPr>
          <w:ilvl w:val="0"/>
          <w:numId w:val="1"/>
        </w:numPr>
        <w:bidi/>
        <w:rPr>
          <w:rStyle w:val="Hyperlink"/>
          <w:rtl/>
        </w:rPr>
      </w:pPr>
      <w:r w:rsidRPr="006B3D67">
        <w:instrText xml:space="preserve">" </w:instrText>
      </w:r>
      <w:r w:rsidRPr="006B3D67">
        <w:fldChar w:fldCharType="separate"/>
      </w:r>
      <w:r w:rsidRPr="006B3D67">
        <w:rPr>
          <w:rStyle w:val="Hyperlink"/>
        </w:rPr>
        <w:t>https://www.theguardian.com/news/2017/sep/07/how-the-aristocracy-preserved-their-power</w:t>
      </w:r>
    </w:p>
    <w:p w14:paraId="2C027104" w14:textId="77777777" w:rsidR="006B3D67" w:rsidRPr="006B3D67" w:rsidRDefault="006B3D67" w:rsidP="006B3D67">
      <w:pPr>
        <w:bidi/>
        <w:rPr>
          <w:rtl/>
        </w:rPr>
      </w:pPr>
      <w:r w:rsidRPr="006B3D67">
        <w:fldChar w:fldCharType="end"/>
      </w:r>
    </w:p>
    <w:p w14:paraId="74B65E32" w14:textId="77777777" w:rsidR="006B3D67" w:rsidRPr="006B3D67" w:rsidRDefault="006B3D67" w:rsidP="006B3D67">
      <w:pPr>
        <w:numPr>
          <w:ilvl w:val="0"/>
          <w:numId w:val="1"/>
        </w:numPr>
        <w:bidi/>
      </w:pPr>
      <w:r w:rsidRPr="006B3D67">
        <w:rPr>
          <w:rtl/>
        </w:rPr>
        <w:t>برای نمونه، در</w:t>
      </w:r>
      <w:r w:rsidRPr="006B3D67">
        <w:rPr>
          <w:rFonts w:hint="cs"/>
          <w:rtl/>
        </w:rPr>
        <w:t xml:space="preserve"> انگلستان در چند دهه ی گذشته، </w:t>
      </w:r>
      <w:r w:rsidRPr="006B3D67">
        <w:rPr>
          <w:rtl/>
        </w:rPr>
        <w:t>نه تنها چند پرستار</w:t>
      </w:r>
      <w:r w:rsidRPr="006B3D67">
        <w:rPr>
          <w:rFonts w:hint="cs"/>
          <w:rtl/>
        </w:rPr>
        <w:t>،</w:t>
      </w:r>
      <w:r w:rsidRPr="006B3D67">
        <w:rPr>
          <w:rtl/>
        </w:rPr>
        <w:t xml:space="preserve"> وزیرِ بهداشت بوده ا</w:t>
      </w:r>
      <w:r w:rsidRPr="006B3D67">
        <w:rPr>
          <w:rtl/>
          <w:lang w:bidi="fa-IR"/>
        </w:rPr>
        <w:t xml:space="preserve">ند، بلکه </w:t>
      </w:r>
      <w:r w:rsidRPr="006B3D67">
        <w:rPr>
          <w:rtl/>
        </w:rPr>
        <w:t xml:space="preserve">یکبار نیز </w:t>
      </w:r>
      <w:r w:rsidRPr="006B3D67">
        <w:rPr>
          <w:rtl/>
          <w:lang w:bidi="fa-IR"/>
        </w:rPr>
        <w:t xml:space="preserve">سیاستمداری بنام جان میجر که حتی دوره آکادمیک پیش دانشگاهی را نیز ندیده بود، </w:t>
      </w:r>
      <w:r w:rsidRPr="006B3D67">
        <w:rPr>
          <w:rFonts w:hint="cs"/>
          <w:rtl/>
          <w:lang w:bidi="fa-IR"/>
        </w:rPr>
        <w:t xml:space="preserve">به </w:t>
      </w:r>
      <w:r w:rsidRPr="006B3D67">
        <w:rPr>
          <w:rtl/>
          <w:lang w:bidi="fa-IR"/>
        </w:rPr>
        <w:t>نخست وزیری آن کشور رسید و</w:t>
      </w:r>
      <w:r w:rsidRPr="006B3D67">
        <w:rPr>
          <w:rFonts w:hint="cs"/>
          <w:rtl/>
          <w:lang w:bidi="fa-IR"/>
        </w:rPr>
        <w:t xml:space="preserve"> دو دوره در </w:t>
      </w:r>
      <w:r w:rsidRPr="006B3D67">
        <w:rPr>
          <w:rtl/>
          <w:lang w:bidi="fa-IR"/>
        </w:rPr>
        <w:t>آن پست ماند.</w:t>
      </w:r>
      <w:r w:rsidRPr="006B3D67">
        <w:rPr>
          <w:rFonts w:hint="cs"/>
          <w:rtl/>
          <w:lang w:bidi="fa-IR"/>
        </w:rPr>
        <w:t xml:space="preserve"> او هم اکنون یکی از سیاستمدارانِ پیش کسوت در حزب محافظه کارِ بریتانیاست. اما در جمهوری اسلامی ایران کار به جایی رسیده است که "حضرتِ </w:t>
      </w:r>
      <w:r w:rsidRPr="006B3D67">
        <w:rPr>
          <w:rtl/>
        </w:rPr>
        <w:t>حجت‌الاسلام و المسلمین</w:t>
      </w:r>
      <w:r w:rsidRPr="006B3D67">
        <w:rPr>
          <w:rFonts w:hint="cs"/>
          <w:rtl/>
        </w:rPr>
        <w:t xml:space="preserve">" عنوان خود را زیبنده نمی داند و با </w:t>
      </w:r>
      <w:r w:rsidRPr="006B3D67">
        <w:rPr>
          <w:rFonts w:hint="cs"/>
          <w:rtl/>
          <w:lang w:bidi="fa-IR"/>
        </w:rPr>
        <w:t xml:space="preserve">رفتن به بلادِ کفر و راه دور و رنجِ بسیار، مدرک دکترایی برای خود دست و پا می کند. این کار شگفت را از هرزاویه ای که بنگری، دهن کجی به اسلام، مسلمین، جمهوری اسلامی، حوزه علمیه، لباسِ روحانیت و "خویشتنِ خویشِ" اوست. گواهی کرداری بر ورشکستگی و نازمانمندی دین و آئین و جهان نگری و هویتِ او.   </w:t>
      </w:r>
    </w:p>
    <w:p w14:paraId="1348A9C4" w14:textId="77777777" w:rsidR="006B3D67" w:rsidRPr="006B3D67" w:rsidRDefault="006B3D67" w:rsidP="006B3D67">
      <w:pPr>
        <w:bidi/>
        <w:rPr>
          <w:rtl/>
        </w:rPr>
      </w:pPr>
    </w:p>
    <w:p w14:paraId="65A57295" w14:textId="77777777" w:rsidR="006B3D67" w:rsidRPr="006B3D67" w:rsidRDefault="006B3D67" w:rsidP="006B3D67">
      <w:pPr>
        <w:numPr>
          <w:ilvl w:val="0"/>
          <w:numId w:val="1"/>
        </w:numPr>
        <w:bidi/>
      </w:pPr>
      <w:r w:rsidRPr="006B3D67">
        <w:rPr>
          <w:rtl/>
        </w:rPr>
        <w:t>دوستی برمن خُرده گرفته‏ است که جداسازی گفتمان های</w:t>
      </w:r>
      <w:r w:rsidRPr="006B3D67">
        <w:rPr>
          <w:rFonts w:hint="cs"/>
          <w:rtl/>
        </w:rPr>
        <w:t>؛</w:t>
      </w:r>
      <w:r w:rsidRPr="006B3D67">
        <w:rPr>
          <w:rtl/>
        </w:rPr>
        <w:t xml:space="preserve"> </w:t>
      </w:r>
      <w:r w:rsidRPr="006B3D67">
        <w:rPr>
          <w:rFonts w:hint="cs"/>
          <w:rtl/>
        </w:rPr>
        <w:t>"</w:t>
      </w:r>
      <w:r w:rsidRPr="006B3D67">
        <w:rPr>
          <w:b/>
          <w:bCs/>
          <w:rtl/>
        </w:rPr>
        <w:t>حکومت</w:t>
      </w:r>
      <w:r w:rsidRPr="006B3D67">
        <w:rPr>
          <w:rFonts w:hint="cs"/>
          <w:rtl/>
        </w:rPr>
        <w:t>"</w:t>
      </w:r>
      <w:r w:rsidRPr="006B3D67">
        <w:rPr>
          <w:rtl/>
        </w:rPr>
        <w:t xml:space="preserve"> و</w:t>
      </w:r>
      <w:r w:rsidRPr="006B3D67">
        <w:rPr>
          <w:rFonts w:hint="cs"/>
          <w:rtl/>
        </w:rPr>
        <w:t xml:space="preserve"> "</w:t>
      </w:r>
      <w:r w:rsidRPr="006B3D67">
        <w:rPr>
          <w:b/>
          <w:bCs/>
          <w:rtl/>
        </w:rPr>
        <w:t>دولت</w:t>
      </w:r>
      <w:r w:rsidRPr="006B3D67">
        <w:rPr>
          <w:rFonts w:hint="cs"/>
          <w:rtl/>
        </w:rPr>
        <w:t>"</w:t>
      </w:r>
      <w:r w:rsidRPr="006B3D67">
        <w:rPr>
          <w:rtl/>
        </w:rPr>
        <w:t xml:space="preserve">، به گونه ‏ای که من </w:t>
      </w:r>
      <w:r w:rsidRPr="006B3D67">
        <w:rPr>
          <w:rFonts w:hint="cs"/>
          <w:rtl/>
        </w:rPr>
        <w:t>درباره ی آن ها</w:t>
      </w:r>
      <w:r w:rsidRPr="006B3D67">
        <w:rPr>
          <w:rtl/>
        </w:rPr>
        <w:t xml:space="preserve"> می نویسم، در فرهنگ و زبان انگلیسی وجود ندارد و واژه،</w:t>
      </w:r>
      <w:r w:rsidRPr="006B3D67">
        <w:t xml:space="preserve">“Government” </w:t>
      </w:r>
      <w:r w:rsidRPr="006B3D67">
        <w:rPr>
          <w:rFonts w:hint="cs"/>
          <w:rtl/>
        </w:rPr>
        <w:t xml:space="preserve"> </w:t>
      </w:r>
      <w:r w:rsidRPr="006B3D67">
        <w:rPr>
          <w:rtl/>
        </w:rPr>
        <w:t xml:space="preserve">در آن زبان، هم برای حکومت بکار می‏ رود و هم برای دولت. </w:t>
      </w:r>
      <w:r w:rsidRPr="006B3D67">
        <w:rPr>
          <w:rFonts w:hint="cs"/>
          <w:rtl/>
        </w:rPr>
        <w:t>البته اگر هم این چنین می بود -</w:t>
      </w:r>
      <w:r w:rsidRPr="006B3D67">
        <w:rPr>
          <w:rtl/>
        </w:rPr>
        <w:t xml:space="preserve"> که البته </w:t>
      </w:r>
      <w:r w:rsidRPr="006B3D67">
        <w:rPr>
          <w:rFonts w:hint="cs"/>
          <w:rtl/>
        </w:rPr>
        <w:t>نیست</w:t>
      </w:r>
      <w:r w:rsidRPr="006B3D67">
        <w:rPr>
          <w:rtl/>
        </w:rPr>
        <w:t xml:space="preserve"> – </w:t>
      </w:r>
      <w:r w:rsidRPr="006B3D67">
        <w:rPr>
          <w:rFonts w:hint="cs"/>
          <w:rtl/>
        </w:rPr>
        <w:t xml:space="preserve">چرا باید آنچه ما می اندیشیم و می گوییم و می نویسیم، در پرتوِ سخنان دیگران سنجیده شود؟ </w:t>
      </w:r>
    </w:p>
    <w:p w14:paraId="1729A8AE" w14:textId="77777777" w:rsidR="006B3D67" w:rsidRPr="006B3D67" w:rsidRDefault="006B3D67" w:rsidP="006B3D67">
      <w:pPr>
        <w:bidi/>
        <w:rPr>
          <w:rtl/>
        </w:rPr>
      </w:pPr>
    </w:p>
    <w:p w14:paraId="3438D9ED" w14:textId="77777777" w:rsidR="006B3D67" w:rsidRPr="006B3D67" w:rsidRDefault="006B3D67" w:rsidP="006B3D67">
      <w:pPr>
        <w:bidi/>
      </w:pPr>
      <w:bookmarkStart w:id="0" w:name="_GoBack"/>
      <w:bookmarkEnd w:id="0"/>
      <w:r w:rsidRPr="006B3D67">
        <w:rPr>
          <w:rFonts w:hint="cs"/>
          <w:rtl/>
        </w:rPr>
        <w:t xml:space="preserve">در زبانِ انگلیسی، برابر نهادِ واژه ی "حکومت"، </w:t>
      </w:r>
      <w:r w:rsidRPr="006B3D67">
        <w:t>(Rule)</w:t>
      </w:r>
      <w:r w:rsidRPr="006B3D67">
        <w:rPr>
          <w:rFonts w:hint="cs"/>
          <w:rtl/>
          <w:lang w:bidi="fa-IR"/>
        </w:rPr>
        <w:t xml:space="preserve"> است. برای نمونه، </w:t>
      </w:r>
      <w:r w:rsidRPr="006B3D67">
        <w:t>The rule of King Arthur</w:t>
      </w:r>
    </w:p>
    <w:p w14:paraId="040D3437" w14:textId="77777777" w:rsidR="006B3D67" w:rsidRPr="006B3D67" w:rsidRDefault="006B3D67" w:rsidP="006B3D67">
      <w:pPr>
        <w:bidi/>
      </w:pPr>
      <w:r w:rsidRPr="006B3D67">
        <w:rPr>
          <w:rFonts w:hint="cs"/>
          <w:rtl/>
          <w:lang w:bidi="fa-IR"/>
        </w:rPr>
        <w:t>(حکومتِ آرتور شاه).  طبقه ی حاکم نیز،</w:t>
      </w:r>
      <w:r w:rsidRPr="006B3D67">
        <w:t>(The Ruling Class)</w:t>
      </w:r>
      <w:r w:rsidRPr="006B3D67">
        <w:rPr>
          <w:rFonts w:hint="cs"/>
          <w:rtl/>
          <w:lang w:bidi="fa-IR"/>
        </w:rPr>
        <w:t xml:space="preserve"> خوانده می شود. هنگامی که زمزمه ی دموکراسی خواهی در اروپا آغاز شد، مردم خواستارِ حکومتِ قانون، </w:t>
      </w:r>
      <w:r w:rsidRPr="006B3D67">
        <w:t>(The Rule of law)</w:t>
      </w:r>
      <w:r w:rsidRPr="006B3D67">
        <w:rPr>
          <w:rFonts w:hint="cs"/>
          <w:rtl/>
          <w:lang w:bidi="fa-IR"/>
        </w:rPr>
        <w:t>، بجای حکومت شاه شدند. پژواک این گفتمان در انقلاب مشروطیت ایران نیز شنیده شد.</w:t>
      </w:r>
      <w:r w:rsidRPr="006B3D67">
        <w:t xml:space="preserve"> </w:t>
      </w:r>
      <w:r w:rsidRPr="006B3D67">
        <w:rPr>
          <w:rFonts w:hint="cs"/>
          <w:rtl/>
          <w:lang w:bidi="fa-IR"/>
        </w:rPr>
        <w:t xml:space="preserve">در برابر واژه ی "دولت" در زبان انگلیسی باید، </w:t>
      </w:r>
      <w:r w:rsidRPr="006B3D67">
        <w:t>(State)</w:t>
      </w:r>
      <w:r w:rsidRPr="006B3D67">
        <w:rPr>
          <w:rFonts w:hint="cs"/>
          <w:rtl/>
          <w:lang w:bidi="fa-IR"/>
        </w:rPr>
        <w:t xml:space="preserve"> را گذاشت که بمعنای "نهادِ سیاسی اداره امورِ ملت" است. البته واژه ی </w:t>
      </w:r>
      <w:r w:rsidRPr="006B3D67">
        <w:t>(Government)</w:t>
      </w:r>
      <w:r w:rsidRPr="006B3D67">
        <w:rPr>
          <w:rFonts w:hint="cs"/>
          <w:rtl/>
          <w:lang w:bidi="fa-IR"/>
        </w:rPr>
        <w:t xml:space="preserve"> هم هست که بمعنای اداره کنندگان دولت است. در انگلستان از زمانی که قدرت از حکومت به دولت سپرده شد، کانونِ قدرت و مرکزِ قانونگذاری نیز از مجلس لـُردان به مجلسِ عوام انتقال یافت، یعنی که "حکومتِ نخبگان" به "دولت عوام"، بدل شد. مجلسِ عوامِ بریتانیا، بزرگترین نمادِ این سخن است که؛ </w:t>
      </w:r>
      <w:r w:rsidRPr="006B3D67">
        <w:rPr>
          <w:rtl/>
          <w:lang w:bidi="fa-IR"/>
        </w:rPr>
        <w:t xml:space="preserve">دموکراسی، شیوه ی دولتمداریِ </w:t>
      </w:r>
      <w:r w:rsidRPr="006B3D67">
        <w:rPr>
          <w:rFonts w:hint="cs"/>
          <w:rtl/>
          <w:lang w:bidi="fa-IR"/>
        </w:rPr>
        <w:t xml:space="preserve">شهروندانِ </w:t>
      </w:r>
      <w:r w:rsidRPr="006B3D67">
        <w:rPr>
          <w:rtl/>
          <w:lang w:bidi="fa-IR"/>
        </w:rPr>
        <w:t>عادی ست</w:t>
      </w:r>
      <w:r w:rsidRPr="006B3D67">
        <w:rPr>
          <w:rFonts w:hint="cs"/>
          <w:rtl/>
          <w:lang w:bidi="fa-IR"/>
        </w:rPr>
        <w:t xml:space="preserve">. این گونه، است که دموکراسی که در همه کشورهای جهان بدعت پنداشته می شود، در بریتانیا سُنّت است و این کشور را مادر همه ی پارلمان های جهان خونده اند. </w:t>
      </w:r>
    </w:p>
    <w:p w14:paraId="0998D0AA" w14:textId="77777777" w:rsidR="006B3D67" w:rsidRPr="006B3D67" w:rsidRDefault="006B3D67" w:rsidP="006B3D67">
      <w:pPr>
        <w:bidi/>
        <w:rPr>
          <w:rtl/>
          <w:lang w:bidi="fa-IR"/>
        </w:rPr>
      </w:pPr>
    </w:p>
    <w:p w14:paraId="4689C374" w14:textId="77777777" w:rsidR="006B3D67" w:rsidRPr="006B3D67" w:rsidRDefault="006B3D67" w:rsidP="006B3D67">
      <w:pPr>
        <w:bidi/>
        <w:rPr>
          <w:rtl/>
          <w:lang w:bidi="fa-IR"/>
        </w:rPr>
      </w:pPr>
      <w:r w:rsidRPr="006B3D67">
        <w:rPr>
          <w:rFonts w:hint="cs"/>
          <w:rtl/>
          <w:lang w:bidi="fa-IR"/>
        </w:rPr>
        <w:t xml:space="preserve">سوء تفاهمی که در فرهنگِ ما از زمانِ آشنایی ایرانیان با نگرشِ غربی، دولتِ مدرن </w:t>
      </w:r>
      <w:r w:rsidRPr="006B3D67">
        <w:t>(State)</w:t>
      </w:r>
      <w:r w:rsidRPr="006B3D67">
        <w:rPr>
          <w:rFonts w:hint="cs"/>
          <w:rtl/>
          <w:lang w:bidi="fa-IR"/>
        </w:rPr>
        <w:t xml:space="preserve"> را همان حکومت آشنای خودمان پنداشته است، ریشه در بحران ترجمه دارد که خود برآیندِ کوچکی از بُحران بسیار بزرگ و پُرژرفا و بلندا و  پهنای دیگری در ذهن و زبان و نگرش تاریخی ایرانیان است. نگرشی که هرپدیده ی مدرن را در فرهنگ بومی جستجو کرده است و می کند. دکتر ماشاالله آجودانی در کتابِ روشنگرِ"مشروطه ی ایرانی"، به این گرفتاری بُحران زا و گمراه کننده ی تاریخی پرداخته است. وی در این زمینه نوشته است؛ </w:t>
      </w:r>
    </w:p>
    <w:p w14:paraId="2E1C0DBC" w14:textId="77777777" w:rsidR="006B3D67" w:rsidRPr="006B3D67" w:rsidRDefault="006B3D67" w:rsidP="006B3D67">
      <w:pPr>
        <w:bidi/>
        <w:rPr>
          <w:rtl/>
          <w:lang w:bidi="fa-IR"/>
        </w:rPr>
      </w:pPr>
    </w:p>
    <w:p w14:paraId="0547C1EA" w14:textId="77777777" w:rsidR="006B3D67" w:rsidRPr="006B3D67" w:rsidRDefault="006B3D67" w:rsidP="006B3D67">
      <w:pPr>
        <w:bidi/>
        <w:rPr>
          <w:rtl/>
          <w:lang w:bidi="fa-IR"/>
        </w:rPr>
      </w:pPr>
      <w:r w:rsidRPr="006B3D67">
        <w:rPr>
          <w:rFonts w:hint="cs"/>
          <w:i/>
          <w:iCs/>
          <w:rtl/>
          <w:lang w:bidi="fa-IR"/>
        </w:rPr>
        <w:t xml:space="preserve">"...وقتی "حکومت ملی" یا "مجلس ملی"، یا "حکومت قانونی" و "مشروطه" نداشتیم، نمی توانستیم چنان مفاهیمی را هم در زبان داشته باشیم. اما مشکل، تنها مشکل زبان نبود، مشکلِ زبان به یک معنی مشکل تاریخ و ذهنیتِ ایرانی هم بود. آن مفاهیم غربی </w:t>
      </w:r>
      <w:r w:rsidRPr="006B3D67">
        <w:rPr>
          <w:rFonts w:hint="cs"/>
          <w:i/>
          <w:iCs/>
          <w:rtl/>
          <w:lang w:bidi="fa-IR"/>
        </w:rPr>
        <w:lastRenderedPageBreak/>
        <w:t>و تجربیات آن نه در زبان ما وجود داشت و نه در واقعیت تاریخ ما. ... انسان ایرانی با چنین ذهن و زبان و تاریخی، آن گاه که با مفاهیم جدید آشنا می شد، چون تجربه ی زبانی و تاریخی آن« مفاهیم را (که دو روی یک سکه بودند) نداشت، آنها را با درک و شناخت و برداشت تاریخی خود و با تجربه ی زبانی خود، تفسیر و تعبیر و بازسازی می کرد و سعی می کرد از غرابت و بیگانگی آن مفاهیم جدید، با تقلیل دادن آنها به مفاهیم آشنا، یا تطبیق دادن آنها با دانسته های خود، بکاهد و صورتی مأنوس و آشنا از آنها ارائه دهد.</w:t>
      </w:r>
      <w:r w:rsidRPr="006B3D67">
        <w:rPr>
          <w:rFonts w:hint="cs"/>
          <w:rtl/>
          <w:lang w:bidi="fa-IR"/>
        </w:rPr>
        <w:t xml:space="preserve">   (</w:t>
      </w:r>
      <w:r w:rsidRPr="006B3D67">
        <w:rPr>
          <w:rtl/>
        </w:rPr>
        <w:t xml:space="preserve">صفحه </w:t>
      </w:r>
      <w:r w:rsidRPr="006B3D67">
        <w:rPr>
          <w:rtl/>
          <w:lang w:bidi="fa-IR"/>
        </w:rPr>
        <w:t>۲</w:t>
      </w:r>
      <w:r w:rsidRPr="006B3D67">
        <w:rPr>
          <w:rtl/>
        </w:rPr>
        <w:t xml:space="preserve">، پیشگفتار: مشروطه‌ی ایرانی. ماشاءالله آجودانی، </w:t>
      </w:r>
      <w:r w:rsidRPr="006B3D67">
        <w:rPr>
          <w:rFonts w:hint="cs"/>
          <w:rtl/>
        </w:rPr>
        <w:t>چاپ سوم، نشر اختران، تهران</w:t>
      </w:r>
      <w:r w:rsidRPr="006B3D67">
        <w:rPr>
          <w:rtl/>
        </w:rPr>
        <w:t xml:space="preserve">، </w:t>
      </w:r>
      <w:r w:rsidRPr="006B3D67">
        <w:rPr>
          <w:rFonts w:hint="cs"/>
          <w:rtl/>
        </w:rPr>
        <w:t>1383</w:t>
      </w:r>
      <w:r w:rsidRPr="006B3D67">
        <w:rPr>
          <w:rFonts w:hint="cs"/>
          <w:rtl/>
          <w:lang w:bidi="fa-IR"/>
        </w:rPr>
        <w:t>).</w:t>
      </w:r>
    </w:p>
    <w:p w14:paraId="2CE6CE9A" w14:textId="77777777" w:rsidR="006B3D67" w:rsidRPr="006B3D67" w:rsidRDefault="006B3D67" w:rsidP="006B3D67">
      <w:pPr>
        <w:bidi/>
        <w:rPr>
          <w:rtl/>
          <w:lang w:bidi="fa-IR"/>
        </w:rPr>
      </w:pPr>
    </w:p>
    <w:p w14:paraId="2D90C44F" w14:textId="77777777" w:rsidR="006B3D67" w:rsidRPr="006B3D67" w:rsidRDefault="006B3D67" w:rsidP="006B3D67">
      <w:pPr>
        <w:numPr>
          <w:ilvl w:val="0"/>
          <w:numId w:val="1"/>
        </w:numPr>
        <w:bidi/>
        <w:rPr>
          <w:rStyle w:val="Hyperlink"/>
        </w:rPr>
      </w:pPr>
      <w:r w:rsidRPr="006B3D67">
        <w:fldChar w:fldCharType="begin"/>
      </w:r>
      <w:r w:rsidRPr="006B3D67">
        <w:instrText xml:space="preserve"> HYPERLINK "https://www.sciencedirect.com/science/article/abs/pii/0022103172900789" </w:instrText>
      </w:r>
      <w:r w:rsidRPr="006B3D67">
        <w:fldChar w:fldCharType="separate"/>
      </w:r>
      <w:r w:rsidRPr="006B3D67">
        <w:rPr>
          <w:rStyle w:val="Hyperlink"/>
        </w:rPr>
        <w:t>https://www.sciencedirect.com/science/article/abs/pii/0022103172900789</w:t>
      </w:r>
    </w:p>
    <w:p w14:paraId="25C7E6CA" w14:textId="77777777" w:rsidR="006B3D67" w:rsidRPr="006B3D67" w:rsidRDefault="006B3D67" w:rsidP="006B3D67">
      <w:pPr>
        <w:bidi/>
        <w:rPr>
          <w:rStyle w:val="Hyperlink"/>
          <w:rtl/>
          <w:lang w:bidi="fa-IR"/>
        </w:rPr>
      </w:pPr>
      <w:r w:rsidRPr="006B3D67">
        <w:fldChar w:fldCharType="end"/>
      </w:r>
      <w:r w:rsidRPr="006B3D67">
        <w:fldChar w:fldCharType="begin"/>
      </w:r>
      <w:r w:rsidRPr="006B3D67">
        <w:instrText xml:space="preserve"> HYPERLINK "https://onlinelibrary.wiley.com/doi/full/10.1046/j.1440-1819.1998.0520s5S97.x" </w:instrText>
      </w:r>
      <w:r w:rsidRPr="006B3D67">
        <w:fldChar w:fldCharType="separate"/>
      </w:r>
    </w:p>
    <w:p w14:paraId="00ED8FEE" w14:textId="77777777" w:rsidR="006B3D67" w:rsidRPr="006B3D67" w:rsidRDefault="006B3D67" w:rsidP="006B3D67">
      <w:pPr>
        <w:numPr>
          <w:ilvl w:val="0"/>
          <w:numId w:val="1"/>
        </w:numPr>
        <w:bidi/>
        <w:rPr>
          <w:rStyle w:val="Hyperlink"/>
          <w:rtl/>
        </w:rPr>
      </w:pPr>
      <w:r w:rsidRPr="006B3D67">
        <w:rPr>
          <w:rStyle w:val="Hyperlink"/>
        </w:rPr>
        <w:t xml:space="preserve"> https://onlinelibrary.wiley.com/doi/full/10.1046/j.1440-1819.1998.0520s5S97.x</w:t>
      </w:r>
    </w:p>
    <w:p w14:paraId="34B747F2" w14:textId="77777777" w:rsidR="006B3D67" w:rsidRPr="006B3D67" w:rsidRDefault="006B3D67" w:rsidP="006B3D67">
      <w:pPr>
        <w:bidi/>
        <w:rPr>
          <w:rtl/>
        </w:rPr>
      </w:pPr>
      <w:r w:rsidRPr="006B3D67">
        <w:fldChar w:fldCharType="end"/>
      </w:r>
    </w:p>
    <w:p w14:paraId="764FE860" w14:textId="77777777" w:rsidR="006B3D67" w:rsidRPr="006B3D67" w:rsidRDefault="006B3D67" w:rsidP="006B3D67">
      <w:pPr>
        <w:numPr>
          <w:ilvl w:val="0"/>
          <w:numId w:val="1"/>
        </w:numPr>
        <w:bidi/>
      </w:pPr>
      <w:r w:rsidRPr="006B3D67">
        <w:rPr>
          <w:rFonts w:hint="cs"/>
          <w:rtl/>
        </w:rPr>
        <w:t xml:space="preserve">نگاه کنید به همگون سازی، ستیز و سازش در کتابِ "برآیِش هستی"، ابراهیم هرندی. </w:t>
      </w:r>
      <w:r w:rsidRPr="006B3D67">
        <w:t xml:space="preserve">H&amp;S Media (2011) </w:t>
      </w:r>
      <w:hyperlink r:id="rId7" w:history="1">
        <w:r w:rsidRPr="006B3D67">
          <w:rPr>
            <w:rStyle w:val="Hyperlink"/>
          </w:rPr>
          <w:t>https://www.goodreads.com/book/show/14612078</w:t>
        </w:r>
      </w:hyperlink>
    </w:p>
    <w:p w14:paraId="58AB00B8" w14:textId="77777777" w:rsidR="006B3D67" w:rsidRDefault="006B3D67" w:rsidP="006B3D67">
      <w:pPr>
        <w:bidi/>
      </w:pPr>
    </w:p>
    <w:sectPr w:rsidR="006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4F3F"/>
    <w:multiLevelType w:val="hybridMultilevel"/>
    <w:tmpl w:val="67C2E1D6"/>
    <w:lvl w:ilvl="0" w:tplc="509CD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7"/>
    <w:rsid w:val="006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59ED"/>
  <w15:chartTrackingRefBased/>
  <w15:docId w15:val="{AE648F5F-4278-4F6E-A2B6-8C2493B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4612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0022103172900789" TargetMode="External"/><Relationship Id="rId5" Type="http://schemas.openxmlformats.org/officeDocument/2006/relationships/hyperlink" Target="https://www.researchgate.net/publication/329125232_The_'science'_of_superiority_Africa_and_scholarly_colonial_assump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Tiny</dc:creator>
  <cp:keywords/>
  <dc:description/>
  <cp:lastModifiedBy>A. Tiny</cp:lastModifiedBy>
  <cp:revision>1</cp:revision>
  <dcterms:created xsi:type="dcterms:W3CDTF">2020-07-23T06:55:00Z</dcterms:created>
  <dcterms:modified xsi:type="dcterms:W3CDTF">2020-07-23T06:56:00Z</dcterms:modified>
</cp:coreProperties>
</file>